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8B873" w14:textId="77777777" w:rsidR="00394944" w:rsidRPr="00884072" w:rsidRDefault="004969D3" w:rsidP="00884072">
      <w:pPr>
        <w:pStyle w:val="Title"/>
      </w:pPr>
      <w:r>
        <w:t>Real Estate Development Marketing Act</w:t>
      </w:r>
    </w:p>
    <w:p w14:paraId="531903F2" w14:textId="2F6E140A" w:rsidR="00E604A4" w:rsidRDefault="004969D3" w:rsidP="00A667D2">
      <w:pPr>
        <w:pStyle w:val="Subtitle"/>
      </w:pPr>
      <w:r>
        <w:t xml:space="preserve">Policy Statement </w:t>
      </w:r>
      <w:r w:rsidR="009274BF">
        <w:t>17</w:t>
      </w:r>
    </w:p>
    <w:p w14:paraId="01B9319C" w14:textId="10366FB0" w:rsidR="004969D3" w:rsidRDefault="009274BF" w:rsidP="00A667D2">
      <w:pPr>
        <w:pStyle w:val="Heading1"/>
        <w:spacing w:before="360"/>
      </w:pPr>
      <w:r>
        <w:t>TEmporary Extension of Early Marketing Periods</w:t>
      </w:r>
      <w:r>
        <w:br/>
        <w:t xml:space="preserve">Under Policy </w:t>
      </w:r>
      <w:r w:rsidR="00E16A7F">
        <w:t>Statements</w:t>
      </w:r>
      <w:r>
        <w:t xml:space="preserve"> 5 and 6 in Response to COVID-19</w:t>
      </w:r>
    </w:p>
    <w:p w14:paraId="38B0E738" w14:textId="7D18004A" w:rsidR="004969D3" w:rsidRPr="009274BF" w:rsidRDefault="009274BF" w:rsidP="001675AD">
      <w:pPr>
        <w:pStyle w:val="BCFSASubtitlenoline"/>
        <w:spacing w:after="480"/>
        <w:rPr>
          <w:color w:val="E64B38" w:themeColor="accent2"/>
        </w:rPr>
      </w:pPr>
      <w:r w:rsidRPr="009274BF">
        <w:rPr>
          <w:color w:val="E64B38" w:themeColor="accent2"/>
          <w:u w:val="single"/>
        </w:rPr>
        <w:t>EXPIRED</w:t>
      </w:r>
      <w:r w:rsidRPr="009274BF">
        <w:rPr>
          <w:color w:val="E64B38" w:themeColor="accent2"/>
        </w:rPr>
        <w:t>: Effective from April 17, 2020 to April 30, 2021</w:t>
      </w:r>
    </w:p>
    <w:p w14:paraId="1CD00AF3" w14:textId="15E984C4" w:rsidR="009274BF" w:rsidRPr="009274BF" w:rsidRDefault="009274BF" w:rsidP="009274BF">
      <w:pPr>
        <w:spacing w:line="312" w:lineRule="auto"/>
        <w:rPr>
          <w:rStyle w:val="Strong"/>
          <w:i/>
          <w:iCs/>
          <w:color w:val="E64B38" w:themeColor="accent2"/>
        </w:rPr>
      </w:pPr>
      <w:r w:rsidRPr="009274BF">
        <w:rPr>
          <w:rStyle w:val="Strong"/>
          <w:i/>
          <w:iCs/>
          <w:color w:val="E64B38" w:themeColor="accent2"/>
        </w:rPr>
        <w:t>NOTE: This Policy Statement 17 expired on May 1, 2021. Please refer to Policy Statements 5 and 6 for applicable early marketing periods and related requirements.</w:t>
      </w:r>
    </w:p>
    <w:p w14:paraId="75A31600" w14:textId="77777777" w:rsidR="00AC28C1" w:rsidRDefault="0080130E" w:rsidP="0080130E">
      <w:pPr>
        <w:pStyle w:val="ListNumber"/>
      </w:pPr>
      <w:r>
        <w:t>Interpretation</w:t>
      </w:r>
    </w:p>
    <w:p w14:paraId="0C8FF9DC" w14:textId="77777777" w:rsidR="0080130E" w:rsidRDefault="0080130E" w:rsidP="0080130E">
      <w:pPr>
        <w:pStyle w:val="BodyText"/>
      </w:pPr>
      <w:r>
        <w:t>In this Policy Statement:</w:t>
      </w:r>
    </w:p>
    <w:p w14:paraId="14DAFDA5" w14:textId="77777777" w:rsidR="009274BF" w:rsidRDefault="009274BF" w:rsidP="009274BF">
      <w:pPr>
        <w:pStyle w:val="ListNumber2"/>
      </w:pPr>
      <w:r>
        <w:t xml:space="preserve">“Act” means the </w:t>
      </w:r>
      <w:r w:rsidRPr="00E16A7F">
        <w:rPr>
          <w:i/>
          <w:iCs/>
        </w:rPr>
        <w:t>Real Estate Development Marketing Act</w:t>
      </w:r>
      <w:r>
        <w:t>;</w:t>
      </w:r>
    </w:p>
    <w:p w14:paraId="304163C1" w14:textId="77777777" w:rsidR="009274BF" w:rsidRDefault="009274BF" w:rsidP="009274BF">
      <w:pPr>
        <w:pStyle w:val="ListNumber2"/>
      </w:pPr>
      <w:r>
        <w:t xml:space="preserve">"superintendent" means the person appointed as Superintendent of Real Estate under the Act; </w:t>
      </w:r>
    </w:p>
    <w:p w14:paraId="579CC186" w14:textId="77777777" w:rsidR="009274BF" w:rsidRDefault="009274BF" w:rsidP="009274BF">
      <w:pPr>
        <w:pStyle w:val="ListNumber2"/>
      </w:pPr>
      <w:r>
        <w:t>“building permit” has the meaning given to it in Policy Statement 5 issued by the superintendent pursuant to the Act;</w:t>
      </w:r>
    </w:p>
    <w:p w14:paraId="33B9066D" w14:textId="77777777" w:rsidR="009274BF" w:rsidRDefault="009274BF" w:rsidP="009274BF">
      <w:pPr>
        <w:pStyle w:val="ListNumber2"/>
      </w:pPr>
      <w:r>
        <w:t>“satisfactory financing commitment” has the meaning given to it in Policy Statement 6 issued by the superintendent pursuant to the Act; and</w:t>
      </w:r>
    </w:p>
    <w:p w14:paraId="376E10BF" w14:textId="5C3847C8" w:rsidR="0080130E" w:rsidRDefault="009274BF" w:rsidP="009274BF">
      <w:pPr>
        <w:pStyle w:val="ListNumber2"/>
      </w:pPr>
      <w:r>
        <w:t>unless the context otherwise requires, other words and expressions have the meanings given to them in the Act.</w:t>
      </w:r>
    </w:p>
    <w:p w14:paraId="148547F4" w14:textId="21127CC8" w:rsidR="0080130E" w:rsidRDefault="009274BF" w:rsidP="0080130E">
      <w:pPr>
        <w:pStyle w:val="ListNumber"/>
      </w:pPr>
      <w:r w:rsidRPr="009274BF">
        <w:t>Disclosure Statements - General</w:t>
      </w:r>
    </w:p>
    <w:p w14:paraId="582629F1" w14:textId="483C9855" w:rsidR="001D4204" w:rsidRDefault="009274BF" w:rsidP="001D4204">
      <w:pPr>
        <w:pStyle w:val="BodyText"/>
      </w:pPr>
      <w:r w:rsidRPr="009274BF">
        <w:t>This Policy Statement 17 is issued by the superintendent pursuant to sections 10 and 12 of the Act and temporarily amends the superintendent’s Policy Statements 5 and 6.</w:t>
      </w:r>
    </w:p>
    <w:p w14:paraId="57ACD29D" w14:textId="46F1FF05" w:rsidR="009274BF" w:rsidRDefault="009274BF" w:rsidP="009274BF">
      <w:pPr>
        <w:pStyle w:val="ListNumber"/>
      </w:pPr>
      <w:r>
        <w:t>Temporary Extension of Estimated Dates for Obtaining Building Permits and Satisfactory Financing Commitments</w:t>
      </w:r>
    </w:p>
    <w:p w14:paraId="4B23D545" w14:textId="667BCF18" w:rsidR="001D4204" w:rsidRDefault="009274BF" w:rsidP="001D4204">
      <w:pPr>
        <w:pStyle w:val="ListNumber2"/>
      </w:pPr>
      <w:r w:rsidRPr="009274BF">
        <w:t>Section 6(a) of Policy Statement 5 is amended to extend the estimated 9-months or less date for the issuance of a building permit to 12 months or less, during the applicable time periods set out in section 5 of this Policy Statement 17; and</w:t>
      </w:r>
    </w:p>
    <w:p w14:paraId="38B9A649" w14:textId="5A429AE1" w:rsidR="001D4204" w:rsidRDefault="009274BF" w:rsidP="001D4204">
      <w:pPr>
        <w:pStyle w:val="ListNumber2"/>
      </w:pPr>
      <w:r w:rsidRPr="009274BF">
        <w:t>Section 5(a) of Policy Statement 6 is amended to extend the estimated 9-months or less date for obtaining a satisfactory financing commitment to 12 months or less, during the applicable time periods set out in section 5 of this Policy Statement 17.</w:t>
      </w:r>
    </w:p>
    <w:p w14:paraId="62377057" w14:textId="61D54F5B" w:rsidR="00435D32" w:rsidRDefault="009274BF" w:rsidP="0042079E">
      <w:pPr>
        <w:pStyle w:val="ListNumber"/>
      </w:pPr>
      <w:r w:rsidRPr="009274BF">
        <w:t>Temporary Extension of Early Marketing Periods</w:t>
      </w:r>
    </w:p>
    <w:p w14:paraId="1FD06BC6" w14:textId="77777777" w:rsidR="009274BF" w:rsidRDefault="009274BF" w:rsidP="009274BF">
      <w:pPr>
        <w:pStyle w:val="ListNumber2"/>
      </w:pPr>
      <w:r>
        <w:t>Section 6(b) of Policy Statement 5 is amended to extend the no more than 9-month early marketing period to no more than 12 months, during the applicable time periods set out in section 5 of this Policy Statement 17; and</w:t>
      </w:r>
    </w:p>
    <w:p w14:paraId="4F524075" w14:textId="39F27CDC" w:rsidR="009274BF" w:rsidRDefault="009274BF" w:rsidP="009274BF">
      <w:pPr>
        <w:pStyle w:val="ListNumber2"/>
      </w:pPr>
      <w:r>
        <w:t>Section 5(b) of Policy Statement 6 is amended to extend the no more than 9-month early marketing period to no more than 12 months, during the applicable time periods set out in section 5 of this Policy Statement 17.</w:t>
      </w:r>
    </w:p>
    <w:p w14:paraId="51FFE643" w14:textId="77777777" w:rsidR="009274BF" w:rsidRDefault="009274BF" w:rsidP="009274BF">
      <w:pPr>
        <w:pStyle w:val="ListNumber"/>
      </w:pPr>
      <w:r>
        <w:lastRenderedPageBreak/>
        <w:t>Applicability</w:t>
      </w:r>
    </w:p>
    <w:p w14:paraId="42DBEA87" w14:textId="77777777" w:rsidR="009274BF" w:rsidRDefault="009274BF" w:rsidP="009274BF">
      <w:pPr>
        <w:pStyle w:val="BodyText"/>
      </w:pPr>
      <w:r>
        <w:t xml:space="preserve">Sections 3 and 4 of this Policy Statement 17 apply only to development property marketed under: </w:t>
      </w:r>
    </w:p>
    <w:p w14:paraId="4EA358C4" w14:textId="77777777" w:rsidR="009274BF" w:rsidRDefault="009274BF" w:rsidP="009274BF">
      <w:pPr>
        <w:pStyle w:val="ListNumber2"/>
      </w:pPr>
      <w:r>
        <w:t>Any disclosure statement, including any amendment, filed pursuant to the Act during the period beginning on April 17, 2020 up to and including April 30, 2021 that discloses:</w:t>
      </w:r>
    </w:p>
    <w:p w14:paraId="3CC29CC8" w14:textId="77777777" w:rsidR="009274BF" w:rsidRDefault="009274BF" w:rsidP="009274BF">
      <w:pPr>
        <w:pStyle w:val="ListNumber3"/>
      </w:pPr>
      <w:r>
        <w:t>the extended early marketing period,</w:t>
      </w:r>
    </w:p>
    <w:p w14:paraId="1796C50F" w14:textId="77777777" w:rsidR="009274BF" w:rsidRDefault="009274BF" w:rsidP="009274BF">
      <w:pPr>
        <w:pStyle w:val="ListNumber3"/>
      </w:pPr>
      <w:r>
        <w:t>the extended estimated date for the issuance of a building permit, and</w:t>
      </w:r>
    </w:p>
    <w:p w14:paraId="3E23631C" w14:textId="221D85B4" w:rsidR="009274BF" w:rsidRDefault="009274BF" w:rsidP="009274BF">
      <w:pPr>
        <w:pStyle w:val="ListNumber3"/>
      </w:pPr>
      <w:r>
        <w:t>the extended estimated date for obtaining a satisfactory financing commitment; or</w:t>
      </w:r>
    </w:p>
    <w:p w14:paraId="40C94609" w14:textId="77777777" w:rsidR="009274BF" w:rsidRDefault="009274BF" w:rsidP="009274BF">
      <w:pPr>
        <w:pStyle w:val="ListNumber2"/>
      </w:pPr>
      <w:r>
        <w:t>Any disclosure statement filed pursuant to the Act during the period beginning on June 17, 2019 up to and including April 16, 2020 for which an amendment is filed to disclose:</w:t>
      </w:r>
    </w:p>
    <w:p w14:paraId="3B310477" w14:textId="77777777" w:rsidR="009274BF" w:rsidRDefault="009274BF" w:rsidP="009274BF">
      <w:pPr>
        <w:pStyle w:val="ListNumber3"/>
      </w:pPr>
      <w:r>
        <w:t>the extended early marketing period,</w:t>
      </w:r>
    </w:p>
    <w:p w14:paraId="28997B79" w14:textId="77777777" w:rsidR="009274BF" w:rsidRDefault="009274BF" w:rsidP="009274BF">
      <w:pPr>
        <w:pStyle w:val="ListNumber3"/>
      </w:pPr>
      <w:r>
        <w:t>the extended estimated date for the issuance of a building permit, and</w:t>
      </w:r>
    </w:p>
    <w:p w14:paraId="2E207FA8" w14:textId="672C8063" w:rsidR="009274BF" w:rsidRDefault="009274BF" w:rsidP="009274BF">
      <w:pPr>
        <w:pStyle w:val="ListNumber3"/>
      </w:pPr>
      <w:r>
        <w:t>the extended estimated date for obtaining a satisfactory financing commitment.</w:t>
      </w:r>
    </w:p>
    <w:p w14:paraId="11857491" w14:textId="77777777" w:rsidR="009274BF" w:rsidRDefault="009274BF" w:rsidP="009274BF">
      <w:pPr>
        <w:pStyle w:val="ListNumber"/>
      </w:pPr>
      <w:r>
        <w:t>Other Provisions of Policy Statements 5 and 6 Remain Unchanged</w:t>
      </w:r>
    </w:p>
    <w:p w14:paraId="26ACE57B" w14:textId="31464250" w:rsidR="009274BF" w:rsidRDefault="009274BF" w:rsidP="009274BF">
      <w:pPr>
        <w:pStyle w:val="BodyText"/>
      </w:pPr>
      <w:r>
        <w:t xml:space="preserve">All of the other provisions in Policy Statements 5 and 6, including the rights of a purchaser to cancel a purchase agreement after 12 months under conditions specified in Policy Statements 5 and 6, remain in effect and are unchanged. </w:t>
      </w:r>
    </w:p>
    <w:sectPr w:rsidR="009274BF" w:rsidSect="004969D3">
      <w:headerReference w:type="default" r:id="rId11"/>
      <w:footerReference w:type="default" r:id="rId12"/>
      <w:headerReference w:type="first" r:id="rId13"/>
      <w:footerReference w:type="first" r:id="rId14"/>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EED11" w14:textId="77777777" w:rsidR="00D2756E" w:rsidRDefault="00D2756E" w:rsidP="00BD66A5">
      <w:r>
        <w:separator/>
      </w:r>
    </w:p>
  </w:endnote>
  <w:endnote w:type="continuationSeparator" w:id="0">
    <w:p w14:paraId="0972F1AD" w14:textId="77777777" w:rsidR="00D2756E" w:rsidRDefault="00D2756E"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98F88"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1B66B28C" wp14:editId="4DDC660C">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3B26" w14:textId="777834B7" w:rsidR="00A667D2" w:rsidRPr="00DA3D32" w:rsidRDefault="00DA3D32"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79FEC91D"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036B7F061303445DBC421572E31F9433"/>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3E76531A" w14:textId="24F5E52E" w:rsidR="00AC28C1" w:rsidRPr="00AC28C1" w:rsidRDefault="001D4204" w:rsidP="002212BB">
    <w:pPr>
      <w:pStyle w:val="Footer"/>
    </w:pPr>
    <w:r>
      <w:t>Real Estate Development Marketing Act</w:t>
    </w:r>
    <w:r w:rsidR="00AC28C1">
      <w:t xml:space="preserve"> / </w:t>
    </w:r>
    <w:r>
      <w:t xml:space="preserve">Policy Statement </w:t>
    </w:r>
    <w:r w:rsidR="00E16A7F">
      <w:t>17</w:t>
    </w:r>
    <w:r w:rsidR="00AC28C1">
      <w:t xml:space="preserve"> / </w:t>
    </w:r>
    <w:r w:rsidR="00E16A7F">
      <w:t>04-20</w:t>
    </w:r>
    <w:r w:rsidR="0011231F">
      <w:rPr>
        <w:noProof/>
      </w:rPr>
      <w:drawing>
        <wp:anchor distT="0" distB="0" distL="114300" distR="114300" simplePos="0" relativeHeight="251658240" behindDoc="1" locked="1" layoutInCell="1" allowOverlap="1" wp14:anchorId="32ED7A63" wp14:editId="5B7CFB6F">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A234B" w14:textId="77777777" w:rsidR="00D2756E" w:rsidRPr="00E5193A" w:rsidRDefault="00D2756E" w:rsidP="00E5193A">
      <w:pPr>
        <w:pStyle w:val="Footer"/>
      </w:pPr>
    </w:p>
  </w:footnote>
  <w:footnote w:type="continuationSeparator" w:id="0">
    <w:p w14:paraId="4DBB2DB7" w14:textId="77777777" w:rsidR="00D2756E" w:rsidRPr="00E5193A" w:rsidRDefault="00D2756E" w:rsidP="00E5193A">
      <w:pPr>
        <w:pStyle w:val="Footer"/>
      </w:pPr>
    </w:p>
  </w:footnote>
  <w:footnote w:type="continuationNotice" w:id="1">
    <w:p w14:paraId="3E92DB5C" w14:textId="77777777" w:rsidR="00D2756E" w:rsidRDefault="00D27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213F" w14:textId="77777777" w:rsidR="0011231F" w:rsidRDefault="0011231F">
    <w:pPr>
      <w:pStyle w:val="Header"/>
    </w:pPr>
    <w:r>
      <w:rPr>
        <w:noProof/>
      </w:rPr>
      <w:drawing>
        <wp:inline distT="0" distB="0" distL="0" distR="0" wp14:anchorId="109C37EF" wp14:editId="541A98D9">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4B63" w14:textId="77777777" w:rsidR="00137129" w:rsidRDefault="0011231F">
    <w:pPr>
      <w:pStyle w:val="Header"/>
    </w:pPr>
    <w:r>
      <w:rPr>
        <w:noProof/>
      </w:rPr>
      <w:drawing>
        <wp:inline distT="0" distB="0" distL="0" distR="0" wp14:anchorId="1B43B540" wp14:editId="0F8D1864">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4097"/>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BF"/>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35C5"/>
    <w:rsid w:val="00124458"/>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55E"/>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8710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3DB3"/>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0B9B"/>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137"/>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274BF"/>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25BAC"/>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86925"/>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AF6F2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2756E"/>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A3D32"/>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6A7F"/>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1D9"/>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9B1AB"/>
  <w15:chartTrackingRefBased/>
  <w15:docId w15:val="{E8A48F17-6991-4FE0-A964-22053890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B7F061303445DBC421572E31F9433"/>
        <w:category>
          <w:name w:val="General"/>
          <w:gallery w:val="placeholder"/>
        </w:category>
        <w:types>
          <w:type w:val="bbPlcHdr"/>
        </w:types>
        <w:behaviors>
          <w:behavior w:val="content"/>
        </w:behaviors>
        <w:guid w:val="{770B0ED0-1A2F-41A6-8ED2-986748FD2853}"/>
      </w:docPartPr>
      <w:docPartBody>
        <w:p w:rsidR="00E24047" w:rsidRDefault="00E52887">
          <w:pPr>
            <w:pStyle w:val="036B7F061303445DBC421572E31F9433"/>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87"/>
    <w:rsid w:val="007A7E45"/>
    <w:rsid w:val="00AE4C18"/>
    <w:rsid w:val="00CB3B95"/>
    <w:rsid w:val="00E24047"/>
    <w:rsid w:val="00E528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6B7F061303445DBC421572E31F9433">
    <w:name w:val="036B7F061303445DBC421572E31F9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4b75dc9fd685a44d67b78719a203ce6f">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cf80b34e0168a3639c90e2862147e0dc"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Sept 10"/>
          <xsd:enumeration value="Choice 13"/>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xsd:simpleType>
        <xsd:restriction base="dms:Choice">
          <xsd:enumeration value="RECBC"/>
          <xsd:enumeration value="BCFSA"/>
          <xsd:enumeration value="OSRE"/>
          <xsd:enumeration value="Sandra"/>
          <xsd:enumeration value="Erin"/>
          <xsd:enumeration value="Erin"/>
          <xsd:enumeration value="Sandra"/>
          <xsd:enumeration value="Tunde"/>
          <xsd:enumeration value="Tiffany/Dharam"/>
          <xsd:enumeration value="Ang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xsi:nil="true"/>
    <Priority xmlns="fd40ba7d-2612-43ab-ad39-034460d73def" xsi:nil="true"/>
    <Notes0 xmlns="fd40ba7d-2612-43ab-ad39-034460d73def">Updates to the clause in the footer have been made 2021-06-10</Notes0>
    <Blocker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approved</status>
    <_Flow_SignoffStatus xmlns="fd40ba7d-2612-43ab-ad39-034460d73def">Approved</_Flow_SignoffStatus>
    <ReviewStatus xmlns="fd40ba7d-2612-43ab-ad39-034460d73def">Ready</Review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FC1E6-D77E-441A-94EB-D8712ED2F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F223-A8D7-4B1B-9B5C-6FE4C0C8605E}">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737d3266-72a9-475e-8508-93a179571b33"/>
    <ds:schemaRef ds:uri="fd40ba7d-2612-43ab-ad39-034460d73def"/>
    <ds:schemaRef ds:uri="http://schemas.microsoft.com/office/2006/metadata/properties"/>
  </ds:schemaRefs>
</ds:datastoreItem>
</file>

<file path=customXml/itemProps3.xml><?xml version="1.0" encoding="utf-8"?>
<ds:datastoreItem xmlns:ds="http://schemas.openxmlformats.org/officeDocument/2006/customXml" ds:itemID="{2B5B8D61-7064-4848-8B0C-EF5619D6F2D5}">
  <ds:schemaRefs>
    <ds:schemaRef ds:uri="http://schemas.microsoft.com/sharepoint/v3/contenttype/forms"/>
  </ds:schemaRefs>
</ds:datastoreItem>
</file>

<file path=customXml/itemProps4.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BCFSA Policy Statement Template.dotx</Template>
  <TotalTime>5</TotalTime>
  <Pages>2</Pages>
  <Words>551</Words>
  <Characters>2807</Characters>
  <Application>Microsoft Office Word</Application>
  <DocSecurity>0</DocSecurity>
  <Lines>49</Lines>
  <Paragraphs>36</Paragraphs>
  <ScaleCrop>false</ScaleCrop>
  <HeadingPairs>
    <vt:vector size="2" baseType="variant">
      <vt:variant>
        <vt:lpstr>Title</vt:lpstr>
      </vt:variant>
      <vt:variant>
        <vt:i4>1</vt:i4>
      </vt:variant>
    </vt:vector>
  </HeadingPairs>
  <TitlesOfParts>
    <vt:vector size="1" baseType="lpstr">
      <vt:lpstr>REDMA Amended Policy Statement 17</vt:lpstr>
    </vt:vector>
  </TitlesOfParts>
  <Company>BC Financial Services Authority</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REDMA Amended Policy Statement 17</dc:title>
  <dc:subject/>
  <dc:creator>BCFSA</dc:creator>
  <cp:keywords/>
  <dc:description/>
  <cp:lastModifiedBy>Tina Albrecht</cp:lastModifiedBy>
  <cp:revision>2</cp:revision>
  <dcterms:created xsi:type="dcterms:W3CDTF">2021-12-11T01:53:00Z</dcterms:created>
  <dcterms:modified xsi:type="dcterms:W3CDTF">2021-12-11T01:53:00Z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Ready</vt:lpwstr>
  </property>
  <property fmtid="{D5CDD505-2E9C-101B-9397-08002B2CF9AE}" pid="3" name="ContentTypeId">
    <vt:lpwstr>0x010100AD1F1E56EB6AA54DA31D5B522B9DE24A</vt:lpwstr>
  </property>
  <property fmtid="{D5CDD505-2E9C-101B-9397-08002B2CF9AE}" pid="4" name="_ExtendedDescription">
    <vt:lpwstr/>
  </property>
</Properties>
</file>